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9D6F">
      <w:pPr>
        <w:spacing w:before="30" w:line="560" w:lineRule="exact"/>
        <w:ind w:left="120"/>
        <w:rPr>
          <w:rFonts w:ascii="黑体" w:hAnsi="黑体" w:eastAsia="黑体" w:cs="黑体"/>
          <w:sz w:val="32"/>
          <w:szCs w:val="32"/>
        </w:rPr>
      </w:pPr>
      <w:r>
        <w:rPr>
          <w:rFonts w:ascii="黑体" w:hAnsi="黑体" w:eastAsia="黑体" w:cs="黑体"/>
          <w:sz w:val="32"/>
          <w:szCs w:val="32"/>
        </w:rPr>
        <w:t>附件1</w:t>
      </w:r>
    </w:p>
    <w:p w14:paraId="01034E14">
      <w:pPr>
        <w:rPr>
          <w:rFonts w:ascii="仿宋_GB2312" w:hAnsi="仿宋_GB2312" w:eastAsia="仿宋_GB2312"/>
          <w:sz w:val="32"/>
          <w:szCs w:val="32"/>
        </w:rPr>
      </w:pPr>
      <w:bookmarkStart w:id="0" w:name="_GoBack"/>
      <w:bookmarkEnd w:id="0"/>
    </w:p>
    <w:p w14:paraId="5C9EDFBD">
      <w:pPr>
        <w:spacing w:before="30" w:line="560" w:lineRule="exact"/>
        <w:ind w:left="120"/>
        <w:jc w:val="center"/>
        <w:rPr>
          <w:rFonts w:ascii="宋体" w:hAnsi="宋体" w:eastAsia="宋体" w:cs="宋体"/>
          <w:b/>
          <w:sz w:val="44"/>
          <w:szCs w:val="44"/>
        </w:rPr>
      </w:pPr>
      <w:r>
        <w:rPr>
          <w:rFonts w:ascii="宋体" w:hAnsi="宋体" w:eastAsia="宋体" w:cs="宋体"/>
          <w:b/>
          <w:sz w:val="44"/>
          <w:szCs w:val="44"/>
        </w:rPr>
        <w:t>“检验检查结果智能互认应用研究</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二期</w:t>
      </w:r>
      <w:r>
        <w:rPr>
          <w:rFonts w:hint="eastAsia" w:ascii="宋体" w:hAnsi="宋体" w:eastAsia="宋体" w:cs="宋体"/>
          <w:b/>
          <w:sz w:val="44"/>
          <w:szCs w:val="44"/>
          <w:lang w:eastAsia="zh-CN"/>
        </w:rPr>
        <w:t>）</w:t>
      </w:r>
      <w:r>
        <w:rPr>
          <w:rFonts w:ascii="宋体" w:hAnsi="宋体" w:eastAsia="宋体" w:cs="宋体"/>
          <w:b/>
          <w:sz w:val="44"/>
          <w:szCs w:val="44"/>
        </w:rPr>
        <w:t>”申报说明</w:t>
      </w:r>
    </w:p>
    <w:p w14:paraId="5DB59E82">
      <w:pPr>
        <w:spacing w:line="560" w:lineRule="exact"/>
        <w:ind w:firstLine="0" w:firstLineChars="0"/>
        <w:rPr>
          <w:rFonts w:ascii="仿宋_GB2312" w:hAnsi="仿宋" w:eastAsia="仿宋_GB2312" w:cs="Times New Roman"/>
          <w:color w:val="000000"/>
          <w:sz w:val="32"/>
          <w:szCs w:val="32"/>
        </w:rPr>
      </w:pPr>
    </w:p>
    <w:p w14:paraId="0929D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研究</w:t>
      </w:r>
      <w:r>
        <w:rPr>
          <w:rFonts w:ascii="黑体" w:hAnsi="黑体" w:eastAsia="黑体"/>
          <w:sz w:val="32"/>
          <w:szCs w:val="32"/>
        </w:rPr>
        <w:t>目标</w:t>
      </w:r>
    </w:p>
    <w:p w14:paraId="5C1ED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面向医疗机构慢病管理，</w:t>
      </w:r>
      <w:r>
        <w:rPr>
          <w:rFonts w:ascii="仿宋_GB2312" w:hAnsi="仿宋" w:eastAsia="仿宋_GB2312" w:cs="Times New Roman"/>
          <w:color w:val="000000"/>
          <w:sz w:val="32"/>
          <w:szCs w:val="32"/>
        </w:rPr>
        <w:t>结合实验诊断医学同质化、标准化、智能化相关科研工作</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val="en-US" w:eastAsia="zh-CN"/>
        </w:rPr>
        <w:t>开展</w:t>
      </w:r>
      <w:r>
        <w:rPr>
          <w:rFonts w:ascii="仿宋_GB2312" w:hAnsi="仿宋" w:eastAsia="仿宋_GB2312" w:cs="Times New Roman"/>
          <w:color w:val="000000"/>
          <w:sz w:val="32"/>
          <w:szCs w:val="32"/>
        </w:rPr>
        <w:t>基于</w:t>
      </w:r>
      <w:r>
        <w:rPr>
          <w:rFonts w:hint="eastAsia" w:ascii="仿宋_GB2312" w:hAnsi="仿宋" w:eastAsia="仿宋_GB2312" w:cs="Times New Roman"/>
          <w:color w:val="000000"/>
          <w:sz w:val="32"/>
          <w:szCs w:val="32"/>
        </w:rPr>
        <w:t>常见</w:t>
      </w:r>
      <w:r>
        <w:rPr>
          <w:rFonts w:ascii="仿宋_GB2312" w:hAnsi="仿宋" w:eastAsia="仿宋_GB2312" w:cs="Times New Roman"/>
          <w:color w:val="000000"/>
          <w:sz w:val="32"/>
          <w:szCs w:val="32"/>
        </w:rPr>
        <w:t>慢病相关疾病实验室诊断评价多中心研究</w:t>
      </w:r>
      <w:r>
        <w:rPr>
          <w:rFonts w:hint="eastAsia" w:ascii="仿宋_GB2312" w:hAnsi="仿宋" w:eastAsia="仿宋_GB2312" w:cs="Times New Roman"/>
          <w:color w:val="000000"/>
          <w:sz w:val="32"/>
          <w:szCs w:val="32"/>
        </w:rPr>
        <w:t>。</w:t>
      </w:r>
    </w:p>
    <w:p w14:paraId="2E6DC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二、重点考核指标</w:t>
      </w:r>
    </w:p>
    <w:p w14:paraId="0CFAE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（一）重大课题</w:t>
      </w:r>
      <w:r>
        <w:rPr>
          <w:rFonts w:hint="eastAsia" w:ascii="楷体_GB2312" w:hAnsi="楷体_GB2312" w:eastAsia="楷体_GB2312" w:cs="楷体_GB2312"/>
          <w:color w:val="000000"/>
          <w:sz w:val="32"/>
          <w:szCs w:val="32"/>
          <w:lang w:eastAsia="zh-CN"/>
        </w:rPr>
        <w:t>。</w:t>
      </w:r>
    </w:p>
    <w:p w14:paraId="0CA7A2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hAnsi="仿宋" w:eastAsia="仿宋_GB2312" w:cs="Times New Roman"/>
          <w:color w:val="000000"/>
          <w:sz w:val="32"/>
          <w:szCs w:val="32"/>
          <w:lang w:val="en-US" w:eastAsia="zh-CN"/>
        </w:rPr>
        <w:t>心脑血管疾病</w:t>
      </w:r>
      <w:r>
        <w:rPr>
          <w:rFonts w:hint="eastAsia" w:ascii="仿宋_GB2312" w:hAnsi="仿宋" w:eastAsia="仿宋_GB2312" w:cs="Times New Roman"/>
          <w:color w:val="000000"/>
          <w:sz w:val="32"/>
          <w:szCs w:val="32"/>
        </w:rPr>
        <w:t>检验结果一致性评价与</w:t>
      </w:r>
      <w:r>
        <w:rPr>
          <w:rFonts w:hint="eastAsia" w:ascii="仿宋_GB2312" w:hAnsi="仿宋" w:eastAsia="仿宋_GB2312" w:cs="Times New Roman"/>
          <w:color w:val="000000"/>
          <w:sz w:val="32"/>
          <w:szCs w:val="32"/>
          <w:lang w:val="en-US" w:eastAsia="zh-CN"/>
        </w:rPr>
        <w:t>参考区间</w:t>
      </w:r>
      <w:r>
        <w:rPr>
          <w:rFonts w:hint="eastAsia" w:ascii="仿宋_GB2312" w:hAnsi="仿宋" w:eastAsia="仿宋_GB2312" w:cs="Times New Roman"/>
          <w:color w:val="000000"/>
          <w:sz w:val="32"/>
          <w:szCs w:val="32"/>
        </w:rPr>
        <w:t>研究</w:t>
      </w:r>
      <w:r>
        <w:rPr>
          <w:rFonts w:hint="eastAsia" w:ascii="仿宋_GB2312" w:hAnsi="仿宋" w:eastAsia="仿宋_GB2312" w:cs="Times New Roman"/>
          <w:color w:val="000000"/>
          <w:sz w:val="32"/>
          <w:szCs w:val="32"/>
          <w:lang w:eastAsia="zh-CN"/>
        </w:rPr>
        <w:t>。</w:t>
      </w:r>
    </w:p>
    <w:p w14:paraId="6FC72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研究内容：</w:t>
      </w:r>
      <w:r>
        <w:rPr>
          <w:rFonts w:ascii="仿宋_GB2312" w:hAnsi="仿宋" w:eastAsia="仿宋_GB2312" w:cs="Times New Roman"/>
          <w:color w:val="000000"/>
          <w:sz w:val="32"/>
          <w:szCs w:val="32"/>
        </w:rPr>
        <w:t>基于</w:t>
      </w:r>
      <w:r>
        <w:rPr>
          <w:rFonts w:hint="eastAsia" w:ascii="仿宋_GB2312" w:hAnsi="仿宋" w:eastAsia="仿宋_GB2312" w:cs="Times New Roman"/>
          <w:color w:val="000000"/>
          <w:sz w:val="32"/>
          <w:szCs w:val="32"/>
        </w:rPr>
        <w:t>常见心脑血管疾病（心梗、心衰、高血压、高血脂等），对于检验标志物在不同检验平台上的检测结果进行一致性评价研究，以探索不同平台检测偏差导致的结果差异，提升检测结果的同质化、标准化；根据中国成年人群生理阶段设立不同指标的多层次调查区间，测定全国多个地区检测中心所采集的样本，建立合理的健康人群检验指标参考区间，形成智能化检验结果判别。</w:t>
      </w:r>
    </w:p>
    <w:p w14:paraId="6CB5F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cs="Times New Roman"/>
          <w:color w:val="000000"/>
          <w:sz w:val="32"/>
          <w:szCs w:val="32"/>
          <w:highlight w:val="none"/>
        </w:rPr>
        <w:t>考核指标：建立</w:t>
      </w:r>
      <w:r>
        <w:rPr>
          <w:rFonts w:hint="eastAsia" w:ascii="仿宋_GB2312" w:hAnsi="仿宋" w:eastAsia="仿宋_GB2312" w:cs="Times New Roman"/>
          <w:color w:val="000000"/>
          <w:sz w:val="32"/>
          <w:szCs w:val="32"/>
          <w:highlight w:val="none"/>
          <w:lang w:val="en-US" w:eastAsia="zh-CN"/>
        </w:rPr>
        <w:t>1</w:t>
      </w:r>
      <w:r>
        <w:rPr>
          <w:rFonts w:hint="eastAsia" w:ascii="仿宋_GB2312" w:hAnsi="仿宋" w:eastAsia="仿宋_GB2312" w:cs="Times New Roman"/>
          <w:color w:val="000000"/>
          <w:sz w:val="32"/>
          <w:szCs w:val="32"/>
          <w:highlight w:val="none"/>
        </w:rPr>
        <w:t>套适用于多检验平台的性能验证方案（包含但不限于采样、运输、检验等多项操作步骤）；制定疾病检验标志物在不同平台检验结果的一致化评价指标控制体系，并发表论文1篇；</w:t>
      </w:r>
      <w:r>
        <w:rPr>
          <w:rFonts w:ascii="仿宋_GB2312" w:hAnsi="仿宋" w:eastAsia="仿宋_GB2312" w:cs="Times New Roman"/>
          <w:color w:val="000000"/>
          <w:sz w:val="32"/>
          <w:szCs w:val="32"/>
          <w:highlight w:val="none"/>
        </w:rPr>
        <w:t>设置多年龄层次的调查区间，并依据男、女性别分别纳入对应调查组</w:t>
      </w:r>
      <w:r>
        <w:rPr>
          <w:rFonts w:hint="eastAsia" w:ascii="仿宋_GB2312" w:hAnsi="仿宋" w:eastAsia="仿宋_GB2312" w:cs="Times New Roman"/>
          <w:color w:val="000000"/>
          <w:sz w:val="32"/>
          <w:szCs w:val="32"/>
          <w:highlight w:val="none"/>
          <w:lang w:eastAsia="zh-CN"/>
        </w:rPr>
        <w:t>，</w:t>
      </w:r>
      <w:r>
        <w:rPr>
          <w:rFonts w:hint="eastAsia" w:ascii="仿宋_GB2312" w:hAnsi="仿宋" w:eastAsia="仿宋_GB2312" w:cs="Times New Roman"/>
          <w:color w:val="000000"/>
          <w:sz w:val="32"/>
          <w:szCs w:val="32"/>
          <w:highlight w:val="none"/>
        </w:rPr>
        <w:t>测定全国多地域不少于</w:t>
      </w:r>
      <w:r>
        <w:rPr>
          <w:rFonts w:hint="eastAsia" w:ascii="仿宋_GB2312" w:hAnsi="仿宋" w:eastAsia="仿宋_GB2312" w:cs="Times New Roman"/>
          <w:color w:val="000000"/>
          <w:sz w:val="32"/>
          <w:szCs w:val="32"/>
          <w:highlight w:val="none"/>
          <w:lang w:val="en-US" w:eastAsia="zh-CN"/>
        </w:rPr>
        <w:t>6</w:t>
      </w:r>
      <w:r>
        <w:rPr>
          <w:rFonts w:ascii="仿宋_GB2312" w:hAnsi="仿宋" w:eastAsia="仿宋_GB2312" w:cs="Times New Roman"/>
          <w:color w:val="000000"/>
          <w:sz w:val="32"/>
          <w:szCs w:val="32"/>
          <w:highlight w:val="none"/>
        </w:rPr>
        <w:t>0</w:t>
      </w:r>
      <w:r>
        <w:rPr>
          <w:rFonts w:hint="eastAsia" w:ascii="仿宋_GB2312" w:hAnsi="仿宋" w:eastAsia="仿宋_GB2312" w:cs="Times New Roman"/>
          <w:color w:val="000000"/>
          <w:sz w:val="32"/>
          <w:szCs w:val="32"/>
          <w:highlight w:val="none"/>
        </w:rPr>
        <w:t>家检测中心、</w:t>
      </w:r>
      <w:r>
        <w:rPr>
          <w:rFonts w:hint="eastAsia" w:ascii="仿宋_GB2312" w:hAnsi="仿宋" w:eastAsia="仿宋_GB2312" w:cs="Times New Roman"/>
          <w:color w:val="000000"/>
          <w:sz w:val="32"/>
          <w:szCs w:val="32"/>
          <w:highlight w:val="none"/>
          <w:lang w:val="en-US" w:eastAsia="zh-CN"/>
        </w:rPr>
        <w:t>每中心</w:t>
      </w:r>
      <w:r>
        <w:rPr>
          <w:rFonts w:hint="eastAsia" w:ascii="仿宋_GB2312" w:hAnsi="仿宋" w:eastAsia="仿宋_GB2312" w:cs="Times New Roman"/>
          <w:color w:val="000000"/>
          <w:sz w:val="32"/>
          <w:szCs w:val="32"/>
          <w:highlight w:val="none"/>
        </w:rPr>
        <w:t>不少于2</w:t>
      </w:r>
      <w:r>
        <w:rPr>
          <w:rFonts w:ascii="仿宋_GB2312" w:hAnsi="仿宋" w:eastAsia="仿宋_GB2312" w:cs="Times New Roman"/>
          <w:color w:val="000000"/>
          <w:sz w:val="32"/>
          <w:szCs w:val="32"/>
          <w:highlight w:val="none"/>
        </w:rPr>
        <w:t>00</w:t>
      </w:r>
      <w:r>
        <w:rPr>
          <w:rFonts w:hint="eastAsia" w:ascii="仿宋_GB2312" w:hAnsi="仿宋" w:eastAsia="仿宋_GB2312" w:cs="Times New Roman"/>
          <w:color w:val="000000"/>
          <w:sz w:val="32"/>
          <w:szCs w:val="32"/>
          <w:highlight w:val="none"/>
        </w:rPr>
        <w:t>例人群样本，形成中国健康人群检验指标参考区间。</w:t>
      </w:r>
    </w:p>
    <w:p w14:paraId="688E9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（二）重点课题</w:t>
      </w:r>
      <w:r>
        <w:rPr>
          <w:rFonts w:hint="eastAsia" w:ascii="楷体_GB2312" w:hAnsi="楷体_GB2312" w:eastAsia="楷体_GB2312" w:cs="楷体_GB2312"/>
          <w:color w:val="000000"/>
          <w:sz w:val="32"/>
          <w:szCs w:val="32"/>
          <w:lang w:eastAsia="zh-CN"/>
        </w:rPr>
        <w:t>。</w:t>
      </w:r>
    </w:p>
    <w:p w14:paraId="7D258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val="en-US" w:eastAsia="zh-CN"/>
        </w:rPr>
        <w:t>心脑血管疾病</w:t>
      </w:r>
      <w:r>
        <w:rPr>
          <w:rFonts w:hint="eastAsia" w:ascii="仿宋_GB2312" w:hAnsi="仿宋" w:eastAsia="仿宋_GB2312" w:cs="Times New Roman"/>
          <w:color w:val="000000"/>
          <w:sz w:val="32"/>
          <w:szCs w:val="32"/>
        </w:rPr>
        <w:t>检验结果多地域验证与评价</w:t>
      </w:r>
      <w:r>
        <w:rPr>
          <w:rFonts w:hint="eastAsia" w:ascii="仿宋_GB2312" w:hAnsi="仿宋" w:eastAsia="仿宋_GB2312" w:cs="Times New Roman"/>
          <w:color w:val="000000"/>
          <w:sz w:val="32"/>
          <w:szCs w:val="32"/>
          <w:lang w:eastAsia="zh-CN"/>
        </w:rPr>
        <w:t>。</w:t>
      </w:r>
    </w:p>
    <w:p w14:paraId="376366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研究内容：</w:t>
      </w:r>
      <w:r>
        <w:rPr>
          <w:rFonts w:ascii="仿宋_GB2312" w:hAnsi="仿宋" w:eastAsia="仿宋_GB2312" w:cs="Times New Roman"/>
          <w:color w:val="000000"/>
          <w:sz w:val="32"/>
          <w:szCs w:val="32"/>
        </w:rPr>
        <w:t>基于</w:t>
      </w:r>
      <w:r>
        <w:rPr>
          <w:rFonts w:hint="eastAsia" w:ascii="仿宋_GB2312" w:hAnsi="仿宋" w:eastAsia="仿宋_GB2312" w:cs="Times New Roman"/>
          <w:color w:val="000000"/>
          <w:sz w:val="32"/>
          <w:szCs w:val="32"/>
        </w:rPr>
        <w:t>常见心脑血管疾病（心梗、心衰、高血压、高血脂等）</w:t>
      </w:r>
      <w:r>
        <w:rPr>
          <w:rFonts w:hint="eastAsia" w:ascii="仿宋_GB2312" w:hAnsi="仿宋" w:eastAsia="仿宋_GB2312" w:cs="Times New Roman"/>
          <w:color w:val="000000"/>
          <w:sz w:val="32"/>
          <w:szCs w:val="32"/>
          <w:lang w:eastAsia="zh-CN"/>
        </w:rPr>
        <w:t>，</w:t>
      </w:r>
      <w:r>
        <w:rPr>
          <w:rFonts w:ascii="仿宋_GB2312" w:hAnsi="仿宋" w:eastAsia="仿宋_GB2312" w:cs="Times New Roman"/>
          <w:color w:val="000000"/>
          <w:sz w:val="32"/>
          <w:szCs w:val="32"/>
        </w:rPr>
        <w:t>针对</w:t>
      </w:r>
      <w:r>
        <w:rPr>
          <w:rFonts w:hint="eastAsia" w:ascii="仿宋_GB2312" w:hAnsi="仿宋" w:eastAsia="仿宋_GB2312" w:cs="Times New Roman"/>
          <w:color w:val="000000"/>
          <w:sz w:val="32"/>
          <w:szCs w:val="32"/>
        </w:rPr>
        <w:t>影响检验结果的</w:t>
      </w:r>
      <w:r>
        <w:rPr>
          <w:rFonts w:ascii="仿宋_GB2312" w:hAnsi="仿宋" w:eastAsia="仿宋_GB2312" w:cs="Times New Roman"/>
          <w:color w:val="000000"/>
          <w:sz w:val="32"/>
          <w:szCs w:val="32"/>
        </w:rPr>
        <w:t>风险点，从</w:t>
      </w:r>
      <w:r>
        <w:rPr>
          <w:rFonts w:hint="eastAsia" w:ascii="仿宋_GB2312" w:hAnsi="仿宋" w:eastAsia="仿宋_GB2312" w:cs="Times New Roman"/>
          <w:color w:val="000000"/>
          <w:sz w:val="32"/>
          <w:szCs w:val="32"/>
        </w:rPr>
        <w:t>包含但不限于样本采集、样本运输</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人员操作</w:t>
      </w:r>
      <w:r>
        <w:rPr>
          <w:rFonts w:ascii="仿宋_GB2312" w:hAnsi="仿宋" w:eastAsia="仿宋_GB2312" w:cs="Times New Roman"/>
          <w:color w:val="000000"/>
          <w:sz w:val="32"/>
          <w:szCs w:val="32"/>
        </w:rPr>
        <w:t>等角度</w:t>
      </w:r>
      <w:r>
        <w:rPr>
          <w:rFonts w:hint="eastAsia" w:ascii="仿宋_GB2312" w:hAnsi="仿宋" w:eastAsia="仿宋_GB2312" w:cs="Times New Roman"/>
          <w:color w:val="000000"/>
          <w:sz w:val="32"/>
          <w:szCs w:val="32"/>
        </w:rPr>
        <w:t>形成规范流程；根据中国成年人群年龄分布</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设立不同区域的多维度调查区间，采集检验中心所在地区样本。</w:t>
      </w:r>
    </w:p>
    <w:p w14:paraId="4368A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考核指标：产出</w:t>
      </w:r>
      <w:r>
        <w:rPr>
          <w:rFonts w:hint="eastAsia" w:ascii="仿宋_GB2312" w:hAnsi="仿宋" w:eastAsia="仿宋_GB2312" w:cs="Times New Roman"/>
          <w:color w:val="000000"/>
          <w:sz w:val="32"/>
          <w:szCs w:val="32"/>
          <w:lang w:val="en-US" w:eastAsia="zh-CN"/>
        </w:rPr>
        <w:t>1</w:t>
      </w:r>
      <w:r>
        <w:rPr>
          <w:rFonts w:hint="eastAsia" w:ascii="仿宋_GB2312" w:hAnsi="仿宋" w:eastAsia="仿宋_GB2312" w:cs="Times New Roman"/>
          <w:color w:val="000000"/>
          <w:sz w:val="32"/>
          <w:szCs w:val="32"/>
        </w:rPr>
        <w:t>套人员培训工作报告，采集样本不少于200例。</w:t>
      </w:r>
    </w:p>
    <w:p w14:paraId="53B18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青年科学家课题</w:t>
      </w:r>
      <w:r>
        <w:rPr>
          <w:rFonts w:hint="eastAsia" w:ascii="楷体_GB2312" w:hAnsi="楷体_GB2312" w:eastAsia="楷体_GB2312" w:cs="楷体_GB2312"/>
          <w:color w:val="000000"/>
          <w:sz w:val="32"/>
          <w:szCs w:val="32"/>
          <w:lang w:eastAsia="zh-CN"/>
        </w:rPr>
        <w:t>。</w:t>
      </w:r>
    </w:p>
    <w:p w14:paraId="20ED2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rPr>
        <w:t>本研究课题及考核指标与“重点课题”相同，项目课题申请人需具有中级以上专业技术职称或硕士学位。</w:t>
      </w:r>
    </w:p>
    <w:p w14:paraId="49F20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三、课题研究周期</w:t>
      </w:r>
    </w:p>
    <w:p w14:paraId="628CD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原则上课题研究周期为</w:t>
      </w:r>
      <w:r>
        <w:rPr>
          <w:rFonts w:hint="eastAsia" w:ascii="仿宋_GB2312" w:hAnsi="仿宋" w:eastAsia="仿宋_GB2312" w:cs="Times New Roman"/>
          <w:color w:val="000000"/>
          <w:sz w:val="32"/>
          <w:szCs w:val="32"/>
          <w:lang w:val="en-US" w:eastAsia="zh-CN"/>
        </w:rPr>
        <w:t>18</w:t>
      </w:r>
      <w:r>
        <w:rPr>
          <w:rFonts w:ascii="仿宋_GB2312" w:hAnsi="仿宋" w:eastAsia="仿宋_GB2312" w:cs="Times New Roman"/>
          <w:color w:val="000000"/>
          <w:sz w:val="32"/>
          <w:szCs w:val="32"/>
        </w:rPr>
        <w:t>个月。</w:t>
      </w:r>
    </w:p>
    <w:p w14:paraId="23AA9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四、课题管理</w:t>
      </w:r>
    </w:p>
    <w:p w14:paraId="791BC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（一）课题申报</w:t>
      </w:r>
      <w:r>
        <w:rPr>
          <w:rFonts w:hint="eastAsia" w:ascii="楷体_GB2312" w:hAnsi="楷体_GB2312" w:eastAsia="楷体_GB2312" w:cs="楷体_GB2312"/>
          <w:color w:val="000000"/>
          <w:sz w:val="32"/>
          <w:szCs w:val="32"/>
          <w:lang w:eastAsia="zh-CN"/>
        </w:rPr>
        <w:t>。</w:t>
      </w:r>
    </w:p>
    <w:p w14:paraId="2A7B4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申请人填写《检验检查结果智能互认应用研究》</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二期</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申报书</w:t>
      </w:r>
      <w:r>
        <w:rPr>
          <w:rFonts w:ascii="仿宋_GB2312" w:hAnsi="仿宋" w:eastAsia="仿宋_GB2312" w:cs="Times New Roman"/>
          <w:color w:val="000000"/>
          <w:sz w:val="32"/>
          <w:szCs w:val="32"/>
        </w:rPr>
        <w:t>（附件2），申</w:t>
      </w:r>
      <w:r>
        <w:rPr>
          <w:rFonts w:hint="eastAsia" w:ascii="仿宋_GB2312" w:hAnsi="仿宋" w:eastAsia="仿宋_GB2312" w:cs="Times New Roman"/>
          <w:color w:val="000000"/>
          <w:sz w:val="32"/>
          <w:szCs w:val="32"/>
        </w:rPr>
        <w:t>报</w:t>
      </w:r>
      <w:r>
        <w:rPr>
          <w:rFonts w:ascii="仿宋_GB2312" w:hAnsi="仿宋" w:eastAsia="仿宋_GB2312" w:cs="Times New Roman"/>
          <w:color w:val="000000"/>
          <w:sz w:val="32"/>
          <w:szCs w:val="32"/>
        </w:rPr>
        <w:t>书 word 版本及 pdf 扫描件（签字、盖章）于</w:t>
      </w:r>
      <w:r>
        <w:rPr>
          <w:rFonts w:hint="eastAsia" w:ascii="仿宋_GB2312" w:hAnsi="微软雅黑" w:eastAsia="仿宋_GB2312" w:cs="宋体"/>
          <w:color w:val="000000" w:themeColor="text1"/>
          <w:sz w:val="32"/>
          <w:szCs w:val="32"/>
          <w14:textFill>
            <w14:solidFill>
              <w14:schemeClr w14:val="tx1"/>
            </w14:solidFill>
          </w14:textFill>
        </w:rPr>
        <w:t>202</w:t>
      </w:r>
      <w:r>
        <w:rPr>
          <w:rFonts w:hint="eastAsia" w:ascii="仿宋_GB2312" w:hAnsi="微软雅黑" w:eastAsia="仿宋_GB2312" w:cs="宋体"/>
          <w:color w:val="000000" w:themeColor="text1"/>
          <w:sz w:val="32"/>
          <w:szCs w:val="32"/>
          <w:lang w:val="en-US" w:eastAsia="zh-CN"/>
          <w14:textFill>
            <w14:solidFill>
              <w14:schemeClr w14:val="tx1"/>
            </w14:solidFill>
          </w14:textFill>
        </w:rPr>
        <w:t>5</w:t>
      </w:r>
      <w:r>
        <w:rPr>
          <w:rFonts w:hint="eastAsia" w:ascii="仿宋_GB2312" w:hAnsi="微软雅黑" w:eastAsia="仿宋_GB2312" w:cs="宋体"/>
          <w:color w:val="000000" w:themeColor="text1"/>
          <w:sz w:val="32"/>
          <w:szCs w:val="32"/>
          <w14:textFill>
            <w14:solidFill>
              <w14:schemeClr w14:val="tx1"/>
            </w14:solidFill>
          </w14:textFill>
        </w:rPr>
        <w:t>年</w:t>
      </w:r>
      <w:r>
        <w:rPr>
          <w:rFonts w:ascii="仿宋_GB2312" w:hAnsi="微软雅黑" w:eastAsia="仿宋_GB2312" w:cs="宋体"/>
          <w:color w:val="000000" w:themeColor="text1"/>
          <w:sz w:val="32"/>
          <w:szCs w:val="32"/>
          <w:highlight w:val="none"/>
          <w14:textFill>
            <w14:solidFill>
              <w14:schemeClr w14:val="tx1"/>
            </w14:solidFill>
          </w14:textFill>
        </w:rPr>
        <w:t>1</w:t>
      </w:r>
      <w:r>
        <w:rPr>
          <w:rFonts w:hint="eastAsia" w:ascii="仿宋_GB2312" w:hAnsi="微软雅黑" w:eastAsia="仿宋_GB2312" w:cs="宋体"/>
          <w:color w:val="000000" w:themeColor="text1"/>
          <w:sz w:val="32"/>
          <w:szCs w:val="32"/>
          <w:highlight w:val="none"/>
          <w14:textFill>
            <w14:solidFill>
              <w14:schemeClr w14:val="tx1"/>
            </w14:solidFill>
          </w14:textFill>
        </w:rPr>
        <w:t>月</w:t>
      </w:r>
      <w:r>
        <w:rPr>
          <w:rFonts w:hint="eastAsia" w:ascii="仿宋_GB2312" w:hAnsi="微软雅黑" w:eastAsia="仿宋_GB2312" w:cs="宋体"/>
          <w:color w:val="000000" w:themeColor="text1"/>
          <w:sz w:val="32"/>
          <w:szCs w:val="32"/>
          <w:highlight w:val="none"/>
          <w:lang w:val="en-US" w:eastAsia="zh-CN"/>
          <w14:textFill>
            <w14:solidFill>
              <w14:schemeClr w14:val="tx1"/>
            </w14:solidFill>
          </w14:textFill>
        </w:rPr>
        <w:t>20</w:t>
      </w:r>
      <w:r>
        <w:rPr>
          <w:rFonts w:hint="eastAsia" w:ascii="仿宋_GB2312" w:hAnsi="微软雅黑" w:eastAsia="仿宋_GB2312" w:cs="宋体"/>
          <w:color w:val="000000" w:themeColor="text1"/>
          <w:sz w:val="32"/>
          <w:szCs w:val="32"/>
          <w:highlight w:val="none"/>
          <w14:textFill>
            <w14:solidFill>
              <w14:schemeClr w14:val="tx1"/>
            </w14:solidFill>
          </w14:textFill>
        </w:rPr>
        <w:t>日</w:t>
      </w:r>
      <w:r>
        <w:rPr>
          <w:rFonts w:ascii="仿宋_GB2312" w:hAnsi="仿宋" w:eastAsia="仿宋_GB2312" w:cs="Times New Roman"/>
          <w:color w:val="000000"/>
          <w:sz w:val="32"/>
          <w:szCs w:val="32"/>
        </w:rPr>
        <w:t>17:00前发送至电子邮箱，文件名及邮件主题为“检验检查结果智能互认应用研究+单位+姓名”。</w:t>
      </w:r>
    </w:p>
    <w:p w14:paraId="12F8E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（二）立项答辩会</w:t>
      </w:r>
      <w:r>
        <w:rPr>
          <w:rFonts w:hint="eastAsia" w:ascii="楷体_GB2312" w:hAnsi="楷体_GB2312" w:eastAsia="楷体_GB2312" w:cs="楷体_GB2312"/>
          <w:color w:val="000000"/>
          <w:sz w:val="32"/>
          <w:szCs w:val="32"/>
          <w:lang w:eastAsia="zh-CN"/>
        </w:rPr>
        <w:t>。</w:t>
      </w:r>
    </w:p>
    <w:p w14:paraId="721FC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我所收到申请书后，将组织课题立项答辩会，由申请人从立项依据、研究方法、创新点等方面进行介绍，本项目专家委员会对参评课题进行审核评议。</w:t>
      </w:r>
    </w:p>
    <w:p w14:paraId="6A514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通过专家评议的申报单位，我所将发布通知，并给予</w:t>
      </w:r>
      <w:r>
        <w:rPr>
          <w:rFonts w:hint="eastAsia" w:ascii="仿宋_GB2312" w:hAnsi="仿宋" w:eastAsia="仿宋_GB2312" w:cs="Times New Roman"/>
          <w:color w:val="000000"/>
          <w:sz w:val="32"/>
          <w:szCs w:val="32"/>
        </w:rPr>
        <w:t>人民币10,000-100,000</w:t>
      </w:r>
      <w:r>
        <w:rPr>
          <w:rFonts w:ascii="仿宋_GB2312" w:hAnsi="仿宋" w:eastAsia="仿宋_GB2312" w:cs="Times New Roman"/>
          <w:color w:val="000000"/>
          <w:sz w:val="32"/>
          <w:szCs w:val="32"/>
        </w:rPr>
        <w:t>经费支持</w:t>
      </w:r>
      <w:r>
        <w:rPr>
          <w:rFonts w:hint="eastAsia" w:ascii="仿宋_GB2312" w:hAnsi="仿宋" w:eastAsia="仿宋_GB2312" w:cs="Times New Roman"/>
          <w:color w:val="000000"/>
          <w:sz w:val="32"/>
          <w:szCs w:val="32"/>
        </w:rPr>
        <w:t>，</w:t>
      </w:r>
      <w:r>
        <w:rPr>
          <w:rFonts w:ascii="仿宋_GB2312" w:hAnsi="仿宋" w:eastAsia="仿宋_GB2312" w:cs="Times New Roman"/>
          <w:color w:val="000000"/>
          <w:sz w:val="32"/>
          <w:szCs w:val="32"/>
        </w:rPr>
        <w:t>项目实施费用不足部分由申报单位自行承担。</w:t>
      </w:r>
    </w:p>
    <w:p w14:paraId="59C72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（三）结题答辩会</w:t>
      </w:r>
      <w:r>
        <w:rPr>
          <w:rFonts w:hint="eastAsia" w:ascii="楷体_GB2312" w:hAnsi="楷体_GB2312" w:eastAsia="楷体_GB2312" w:cs="楷体_GB2312"/>
          <w:color w:val="000000"/>
          <w:sz w:val="32"/>
          <w:szCs w:val="32"/>
          <w:lang w:eastAsia="zh-CN"/>
        </w:rPr>
        <w:t>。</w:t>
      </w:r>
    </w:p>
    <w:p w14:paraId="39E33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通过立项的研究课题完成后，我所将组织结题答辩会，由申请人提交本课题的研究报告并进行成果汇报。</w:t>
      </w:r>
    </w:p>
    <w:p w14:paraId="0B5F1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（四）其他事项</w:t>
      </w:r>
      <w:r>
        <w:rPr>
          <w:rFonts w:hint="eastAsia" w:ascii="楷体_GB2312" w:hAnsi="楷体_GB2312" w:eastAsia="楷体_GB2312" w:cs="楷体_GB2312"/>
          <w:color w:val="000000"/>
          <w:sz w:val="32"/>
          <w:szCs w:val="32"/>
          <w:lang w:eastAsia="zh-CN"/>
        </w:rPr>
        <w:t>。</w:t>
      </w:r>
    </w:p>
    <w:p w14:paraId="7B42C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重大课题申请单位</w:t>
      </w:r>
      <w:r>
        <w:rPr>
          <w:rFonts w:ascii="仿宋_GB2312" w:hAnsi="仿宋" w:eastAsia="仿宋_GB2312" w:cs="Times New Roman"/>
          <w:color w:val="000000"/>
          <w:sz w:val="32"/>
          <w:szCs w:val="32"/>
        </w:rPr>
        <w:t>应至少发表</w:t>
      </w:r>
      <w:r>
        <w:rPr>
          <w:rFonts w:hint="eastAsia" w:ascii="仿宋_GB2312" w:hAnsi="仿宋" w:eastAsia="仿宋_GB2312" w:cs="Times New Roman"/>
          <w:color w:val="000000"/>
          <w:sz w:val="32"/>
          <w:szCs w:val="32"/>
        </w:rPr>
        <w:t>2</w:t>
      </w:r>
      <w:r>
        <w:rPr>
          <w:rFonts w:ascii="仿宋_GB2312" w:hAnsi="仿宋" w:eastAsia="仿宋_GB2312" w:cs="Times New Roman"/>
          <w:color w:val="000000"/>
          <w:sz w:val="32"/>
          <w:szCs w:val="32"/>
        </w:rPr>
        <w:t>篇与</w:t>
      </w:r>
      <w:r>
        <w:rPr>
          <w:rFonts w:hint="eastAsia" w:ascii="仿宋_GB2312" w:hAnsi="仿宋" w:eastAsia="仿宋_GB2312" w:cs="Times New Roman"/>
          <w:color w:val="000000"/>
          <w:sz w:val="32"/>
          <w:szCs w:val="32"/>
        </w:rPr>
        <w:t>项目</w:t>
      </w:r>
      <w:r>
        <w:rPr>
          <w:rFonts w:ascii="仿宋_GB2312" w:hAnsi="仿宋" w:eastAsia="仿宋_GB2312" w:cs="Times New Roman"/>
          <w:color w:val="000000"/>
          <w:sz w:val="32"/>
          <w:szCs w:val="32"/>
        </w:rPr>
        <w:t>研究相关的论文</w:t>
      </w:r>
      <w:r>
        <w:rPr>
          <w:rFonts w:hint="eastAsia" w:ascii="仿宋_GB2312" w:hAnsi="仿宋" w:eastAsia="仿宋_GB2312" w:cs="Times New Roman"/>
          <w:color w:val="000000"/>
          <w:sz w:val="32"/>
          <w:szCs w:val="32"/>
        </w:rPr>
        <w:t>；一个标准立项。</w:t>
      </w:r>
    </w:p>
    <w:p w14:paraId="7638B775">
      <w:pPr>
        <w:spacing w:before="30" w:line="560" w:lineRule="exact"/>
        <w:ind w:left="120"/>
        <w:rPr>
          <w:rFonts w:hint="eastAsia" w:ascii="黑体" w:hAnsi="黑体" w:eastAsia="黑体" w:cs="黑体"/>
          <w:sz w:val="32"/>
          <w:szCs w:val="32"/>
        </w:rPr>
      </w:pPr>
    </w:p>
    <w:p w14:paraId="5331B6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5438A"/>
    <w:rsid w:val="5095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2025-01-03T06:01:00Z</dcterms:created>
  <dc:creator>韩茜好</dc:creator>
  <cp:lastModifiedBy>韩茜好</cp:lastModifiedBy>
  <dcterms:modified xsi:type="dcterms:W3CDTF">2025-01-03T06:02:14Z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D8B9C3A86DAD4D7689F44C6568E48582_11</vt:lpwstr>
  </property>
  <property fmtid="{D5CDD505-2E9C-101B-9397-08002B2CF9AE}" pid="4" name="KSOTemplateDocerSaveRecord">
    <vt:lpwstr>eyJoZGlkIjoiZTBiN2FiOTA4MDcyMDU2MmNhZTdlNDVlOTdhN2IxYzkiLCJ1c2VySWQiOiIxNjU4OTU5MDk3In0=</vt:lpwstr>
  </property>
</Properties>
</file>